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F5" w:rsidRDefault="00737EF5">
      <w:pPr>
        <w:spacing w:after="0"/>
        <w:ind w:left="-1440" w:right="10459"/>
      </w:pPr>
    </w:p>
    <w:tbl>
      <w:tblPr>
        <w:tblStyle w:val="TableGrid"/>
        <w:tblW w:w="9340" w:type="dxa"/>
        <w:tblInd w:w="154" w:type="dxa"/>
        <w:tblCellMar>
          <w:top w:w="4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604"/>
        <w:gridCol w:w="4206"/>
      </w:tblGrid>
      <w:tr w:rsidR="00737EF5">
        <w:trPr>
          <w:trHeight w:val="2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Категория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Информация </w:t>
            </w:r>
          </w:p>
        </w:tc>
      </w:tr>
      <w:tr w:rsidR="00737EF5">
        <w:trPr>
          <w:trHeight w:val="323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кредитора, место нахождения постоянно действующего исполнительного органа, контактный телефон, по которому осуществляется связь с кредитором, официальный сайт в информационно-телекоммуникационной сети "Интернет", номер лицензии на осуществление банковских операций (для кредитных организаций), информация о внесении сведений о кредиторе в соответствующий государственный реестр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организаций, ломбардов), о членстве в саморегулируемой организации (для кредитных потребительских кооперативов)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Общество с ограниченной ответственностью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Микрокредитная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компания «Кредит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Лайн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»;  Адрес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места нахождения: 141407, Московская область, город Химки, улица Лавочкина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стр.2А, этаж/пом. 2/9;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>Сайт:</w:t>
            </w:r>
            <w:hyperlink r:id="rId5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https://paylate.ru/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sz w:val="20"/>
                </w:rPr>
                <w:t>;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37EF5" w:rsidRDefault="006036FF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Регистрационный номер записи в государственном реестре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организаций № 2120150001955 от 14 августа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2012 года;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ООО «МКК «Кредит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 является членом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Саморегулируемой организации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>«Микрофинансирование и Развитие» (СРО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»). </w:t>
            </w:r>
          </w:p>
        </w:tc>
      </w:tr>
      <w:tr w:rsidR="00737EF5">
        <w:trPr>
          <w:trHeight w:val="300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Требования к заемщику, которые установлены кредитором и выполнение которых является обязательным для предоставления потребительского кредита (займа)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•Возраст от 18 лет до 70 лет (включительно);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•Гражданство РФ, Республики Таджикистан, </w:t>
            </w:r>
          </w:p>
          <w:p w:rsidR="00737EF5" w:rsidRDefault="006036FF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Кыргызской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Республики, Республики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Узбекистан, Республики Казахстан, </w:t>
            </w:r>
          </w:p>
          <w:p w:rsidR="00737EF5" w:rsidRDefault="006036FF">
            <w:pPr>
              <w:spacing w:after="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Республики Беларусь;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•Постоянная регистрация на территории РФ;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•Наличие постоянного источника дохода; •Наличие контактного мобильного телефонного номера, находящегося в распоряжении заемщика на законных основаниях, с техническим устройством, использование которого необходимо при оформлении займа. </w:t>
            </w:r>
          </w:p>
        </w:tc>
      </w:tr>
      <w:tr w:rsidR="00737EF5">
        <w:trPr>
          <w:trHeight w:val="66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Сроки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рассмотрения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оформленного заемщиком заявления о предоставлении потребительского кредита (займа) и принятия кредитором решения относительно этого заявления, а также перечень документов, необходимых для рассмотрения </w:t>
            </w:r>
          </w:p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заявления, в том числе для оценки кредитоспособности заемщика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Срок рассмотрения заявки-оферты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(заявления):24 часа с момента направления заявки-оферты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Перечень документов: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•Заполненная анкета с личными персональными данными; </w:t>
            </w:r>
          </w:p>
          <w:p w:rsidR="00737EF5" w:rsidRDefault="006036FF">
            <w:pPr>
              <w:ind w:right="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•Паспорт гражданина РФ или национальный паспорт с РВП/ВНЖ (для граждан Республики Таджикистан,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Кыргызской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Республики, Республики Узбекистан, </w:t>
            </w:r>
          </w:p>
          <w:p w:rsidR="00737EF5" w:rsidRDefault="006036FF">
            <w:pPr>
              <w:ind w:right="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Республики Казахстан, Республики Беларусь); •Согласие субъекта кредитной истории на предоставление кредитного отчета; •Согласие субъекта на обработку персональных данных;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•Согласие о взаимодействии;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•Временная регистрация (для граждан </w:t>
            </w:r>
          </w:p>
          <w:p w:rsidR="00737EF5" w:rsidRDefault="006036FF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Кыргызской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Республики, Республики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Казахстан, Республики Беларусь), постоянная регистрация (для граждан Республики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Таджикистан, Республики Узбекистан).  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 кредитор вправе запросить: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• СНИЛС или водительское удостоверение (на выбор кредитора);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•Файл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видеодентификации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•фотография разворота паспорта гражданина РФ (стр. 2 и 3) и лица заемщика. </w:t>
            </w:r>
          </w:p>
        </w:tc>
      </w:tr>
      <w:tr w:rsidR="00737EF5">
        <w:trPr>
          <w:trHeight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Виды потребительского кредита (займа)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Целевой заем (на приобретение товара/услуги), нецелевой заем </w:t>
            </w:r>
          </w:p>
        </w:tc>
      </w:tr>
      <w:tr w:rsidR="00737EF5">
        <w:trPr>
          <w:trHeight w:val="93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5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Суммы потребительского кредита (займа) и сроки его возврата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Сумма потребительского займа: в размере стоимости приобретаемого товара/услуги, но не более 500 000 (Пятьсот тысяч) рублей; Срок возврата потребительского займа: в </w:t>
            </w:r>
          </w:p>
        </w:tc>
      </w:tr>
    </w:tbl>
    <w:p w:rsidR="00737EF5" w:rsidRDefault="00737EF5">
      <w:pPr>
        <w:spacing w:after="0"/>
        <w:ind w:left="-1440" w:right="10459"/>
      </w:pPr>
    </w:p>
    <w:tbl>
      <w:tblPr>
        <w:tblStyle w:val="TableGrid"/>
        <w:tblW w:w="9340" w:type="dxa"/>
        <w:tblInd w:w="154" w:type="dxa"/>
        <w:tblCellMar>
          <w:top w:w="2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30"/>
        <w:gridCol w:w="4604"/>
        <w:gridCol w:w="4206"/>
      </w:tblGrid>
      <w:tr w:rsidR="00737EF5">
        <w:trPr>
          <w:trHeight w:val="70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737EF5"/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737EF5"/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соответствии с графиком платежей, указанного в заявке-оферте, но не более 12 (двенадцати) месяцев. </w:t>
            </w:r>
          </w:p>
        </w:tc>
      </w:tr>
      <w:tr w:rsidR="00737EF5">
        <w:trPr>
          <w:trHeight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Валюты, в которых предоставляется потребительский кредит (заем)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Рубли </w:t>
            </w:r>
          </w:p>
        </w:tc>
      </w:tr>
      <w:tr w:rsidR="00737EF5">
        <w:trPr>
          <w:trHeight w:val="16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Способы предоставления потребительского кредита (займа), в том числе с использованием заемщиком электронных средств платежа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В случае предоставления целевого займа: путем перечисления денежных средств в оплату выбранного заемщиком товара/услуги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(по поручению заемщика); в случае предоставления нецелевого займа: путем перечисления денежных средств по реквизитам представленным заемщиком. </w:t>
            </w:r>
          </w:p>
        </w:tc>
      </w:tr>
      <w:tr w:rsidR="00737EF5">
        <w:trPr>
          <w:trHeight w:val="9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Процентные ставки в процентах годовых, а при применении переменных процентных ставок – порядок их определения, соответствующий требованиям настоящего Федерального закона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 w:rsidP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от 22.8% до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 w:rsidRPr="006036FF">
              <w:rPr>
                <w:rFonts w:ascii="Times New Roman" w:eastAsia="Times New Roman" w:hAnsi="Times New Roman" w:cs="Times New Roman"/>
                <w:sz w:val="20"/>
              </w:rPr>
              <w:t>270.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% </w:t>
            </w:r>
          </w:p>
        </w:tc>
      </w:tr>
      <w:tr w:rsidR="00737EF5">
        <w:trPr>
          <w:trHeight w:val="93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ата, начиная с которой начисляются проценты за пользование потребительским кредитом (займом), или порядок ее определения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right="11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Проценты за пользование займом начисляются с даты заключения договора потребительского займа в соответствии с графиком платежей.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737EF5">
        <w:trPr>
          <w:trHeight w:val="9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Виды и суммы иных платежей заемщика по договору потребительского кредита (займа)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right="2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Обязательные платежи: отсутствуют; По выбору заемщика возможно страхование жизни и здоровья и/или от потери работы, подключение услуги смс-информирования. </w:t>
            </w:r>
          </w:p>
        </w:tc>
      </w:tr>
      <w:tr w:rsidR="00737EF5">
        <w:trPr>
          <w:trHeight w:val="93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Диапазоны значений полной стоимости потребительского кредита (займа), определенных с учетом требований настоящего Федерального закона по видам потребительского кредита (займа)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Для целевого займа: 39,831% - 100,873%;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Для нецелевого займа: 39,831% -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 w:rsidR="00C46DEF" w:rsidRPr="00C46DEF">
              <w:rPr>
                <w:rFonts w:ascii="Times New Roman" w:eastAsia="Times New Roman" w:hAnsi="Times New Roman" w:cs="Times New Roman"/>
                <w:sz w:val="20"/>
              </w:rPr>
              <w:t>270,000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%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37EF5">
        <w:trPr>
          <w:trHeight w:val="69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Периодичность платежей заемщика при возврате потребительского кредита (займа), уплате процентов и иных платежей по кредиту (займу)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Платежи: ежемесячные </w:t>
            </w:r>
          </w:p>
        </w:tc>
      </w:tr>
      <w:tr w:rsidR="00737EF5">
        <w:trPr>
          <w:trHeight w:val="300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Способы возврата заемщиком потребительского кредита (займа), уплаты процентов по нему, включая бесплатный способ исполнения заемщиком обязательств по договору потребительского кредита (займа)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Путем перечисления денежных средств на банковский (расчетный счет) Займодавца, в том числе посредством: </w:t>
            </w:r>
          </w:p>
          <w:p w:rsidR="00737EF5" w:rsidRDefault="006036FF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Сбербанка России или иной кредитной организации (в том числе банк); </w:t>
            </w:r>
          </w:p>
          <w:p w:rsidR="00737EF5" w:rsidRDefault="006036FF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Почты России;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-платежных терминалов QIWI; </w:t>
            </w:r>
          </w:p>
          <w:p w:rsidR="00737EF5" w:rsidRDefault="006036FF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отделения/терминалы ПАО </w:t>
            </w:r>
          </w:p>
          <w:p w:rsidR="00737EF5" w:rsidRDefault="006036FF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«Промсвязьбанк» (бесплатный способ погашения); </w:t>
            </w:r>
          </w:p>
          <w:p w:rsidR="00737EF5" w:rsidRDefault="006036FF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иными способами указанными на сайте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https://paylate.ru/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в сети Интернет.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37EF5">
        <w:trPr>
          <w:trHeight w:val="20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 w:righ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Сроки, в течение которых заемщик вправе отказаться от получения потребительского кредита (займа)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righ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Заемщик вправе отказаться от получения потребительского займа полностью или частично, уведомив об этом кредитора до даты предоставления суммы займа, а именно до даты осуществления кредитором оплаты выбранного заемщиком товара/услуги в соответствующей торговой организации или перечисления суммы займа по реквизитам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чета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предоставленного заемщиком.  </w:t>
            </w:r>
          </w:p>
        </w:tc>
      </w:tr>
      <w:tr w:rsidR="00737EF5">
        <w:trPr>
          <w:trHeight w:val="9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15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Способы обеспечения исполнения обязательств по договору потребительского кредита (займа)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случае предоставления целевого займа: заем предоставляется с обеспечением в виде залога; в случае предоставления нецелевого займа: заем предоставляется без обеспечения. </w:t>
            </w:r>
          </w:p>
        </w:tc>
      </w:tr>
      <w:tr w:rsidR="00737EF5">
        <w:trPr>
          <w:trHeight w:val="11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Ответственность заемщика за ненадлежащее исполнение договора потребительского кредита (займа), размеры неустойки (штрафа, пени), порядок ее расчета, а также информация о том, в каких случаях данные санкции могут быть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spacing w:after="1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 неисполнение/ненадлежащее исполнение обязательств по возврату займа/уплате начисленных процентов Займодавец вправе взимать неустойку в размере не более 20 %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(двадцать процентов) годовых, а также </w:t>
            </w:r>
          </w:p>
        </w:tc>
      </w:tr>
    </w:tbl>
    <w:p w:rsidR="00737EF5" w:rsidRDefault="00737EF5">
      <w:pPr>
        <w:spacing w:after="0"/>
        <w:ind w:left="-1440" w:right="10459"/>
      </w:pPr>
    </w:p>
    <w:tbl>
      <w:tblPr>
        <w:tblStyle w:val="TableGrid"/>
        <w:tblW w:w="9340" w:type="dxa"/>
        <w:tblInd w:w="154" w:type="dxa"/>
        <w:tblCellMar>
          <w:top w:w="39" w:type="dxa"/>
          <w:left w:w="106" w:type="dxa"/>
          <w:right w:w="81" w:type="dxa"/>
        </w:tblCellMar>
        <w:tblLook w:val="04A0" w:firstRow="1" w:lastRow="0" w:firstColumn="1" w:lastColumn="0" w:noHBand="0" w:noVBand="1"/>
      </w:tblPr>
      <w:tblGrid>
        <w:gridCol w:w="530"/>
        <w:gridCol w:w="4604"/>
        <w:gridCol w:w="4206"/>
      </w:tblGrid>
      <w:tr w:rsidR="00737EF5">
        <w:trPr>
          <w:trHeight w:val="11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737EF5"/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применены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взимать проценты за соответствующий период нарушения обязательств в размере 0,1% (ноль целых одна десятая процента) в день от суммы задолженности по возврату суммы займа   </w:t>
            </w:r>
          </w:p>
        </w:tc>
      </w:tr>
      <w:tr w:rsidR="00737EF5">
        <w:trPr>
          <w:trHeight w:val="16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Информация об иных договорах, которые заемщик обязан заключить, и (или) иных услугах, которые он обязан получить в связи с договором потребительского кредита (займа), а также информация о возможности заемщика согласиться с заключением таких договоров и (или) оказанием таких услуг либо отказаться от них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Обязанность заключать иные договоры в связи с договором потребительского займа не предусмотрена </w:t>
            </w:r>
          </w:p>
        </w:tc>
      </w:tr>
      <w:tr w:rsidR="00737EF5">
        <w:trPr>
          <w:trHeight w:val="20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 </w:t>
            </w:r>
          </w:p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(для потребительских кредитов (займов) в иностранной валюте)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Данное условие не применимо </w:t>
            </w:r>
          </w:p>
        </w:tc>
      </w:tr>
      <w:tr w:rsidR="00737EF5">
        <w:trPr>
          <w:trHeight w:val="16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 w:right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потребительского кредита (займа), может отличаться от валюты потребительского кредита (займа)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Данное условие не применимо </w:t>
            </w:r>
          </w:p>
        </w:tc>
      </w:tr>
      <w:tr w:rsidR="00737EF5">
        <w:trPr>
          <w:trHeight w:val="18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Информация о возможности запрета уступки кредитором третьим лицам прав (требований) по договору потребительского кредита (займа)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Кредитор вправе переуступить свои права третьим лицам. При этом Заемщик сохраняет в отношении нового кредитора все права, предоставленные ему в отношении первоначального кредитора в соответствии с законодательством Российской Федерации. Заемщик вправе запретить передачу прав, направив письменное заявление Займодавцу    </w:t>
            </w:r>
          </w:p>
        </w:tc>
      </w:tr>
      <w:tr w:rsidR="00737EF5">
        <w:trPr>
          <w:trHeight w:val="323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Порядок предоставления заемщиком информации об использовании потребительского кредита </w:t>
            </w:r>
          </w:p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(займа) (при включении в договор потребительского кредита (займа) условия об использовании заемщиком полученного потребительского кредита (займа) на определенные цели)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righ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целях предоставления целевого займа заемщик непосредственно в направляемой заявке-оферте указывает наименование товара/услуги, для приобретение которой предоставляется заем и наименование торговой организации. В случае акцепта ООО «МКК «Кредит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 заявки-оферты заемщика денежные средства направляются на приобретение указанного товара/услуги. Заемщик предоставляет кредитору право запрашивать в торговой организации, в которой приобретен товар/услуга, информацию и документы, подтверждающие передачу товара/оказание услуги заемщику. </w:t>
            </w:r>
          </w:p>
        </w:tc>
      </w:tr>
      <w:tr w:rsidR="00737EF5">
        <w:trPr>
          <w:trHeight w:val="9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22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Подсудность споров по искам кредитора к заемщику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Химкинский городской суд Московской области/мировой судья судебного участка №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261 Химкинского судебного района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Московской области </w:t>
            </w:r>
          </w:p>
        </w:tc>
      </w:tr>
      <w:tr w:rsidR="00737EF5">
        <w:trPr>
          <w:trHeight w:val="18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23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Формуляры или иные стандартные формы, в которых определены общие условия договора потребительского кредита (займа)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F5" w:rsidRDefault="006036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Общие условия договора o предоставлении займов с использованием сервиса "PAYLATE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– Доверительная оплата", Правила предоставления займов o предоставлении займов с использованием сервиса "PAYLATE – Доверительная оплата", которые размещены </w:t>
            </w:r>
          </w:p>
          <w:p w:rsidR="00737EF5" w:rsidRDefault="006036FF">
            <w:r>
              <w:rPr>
                <w:rFonts w:ascii="Times New Roman" w:eastAsia="Times New Roman" w:hAnsi="Times New Roman" w:cs="Times New Roman"/>
                <w:sz w:val="20"/>
              </w:rPr>
              <w:t xml:space="preserve">на сайте в сети Интернет по адресу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https://paylate.ru/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37EF5" w:rsidRDefault="006036FF">
      <w:pPr>
        <w:spacing w:after="0"/>
        <w:ind w:right="816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37EF5" w:rsidRDefault="006036FF">
      <w:pPr>
        <w:spacing w:after="0" w:line="236" w:lineRule="auto"/>
        <w:ind w:left="262" w:right="81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</w:p>
    <w:sectPr w:rsidR="00737EF5">
      <w:pgSz w:w="11899" w:h="16841"/>
      <w:pgMar w:top="1138" w:right="1440" w:bottom="11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21D8C"/>
    <w:multiLevelType w:val="hybridMultilevel"/>
    <w:tmpl w:val="51685AF4"/>
    <w:lvl w:ilvl="0" w:tplc="DAA21F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C4873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E262E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D4CE2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74943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0C214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B84A9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C4DD8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1A08C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F5"/>
    <w:rsid w:val="006036FF"/>
    <w:rsid w:val="00737EF5"/>
    <w:rsid w:val="00C4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207D6-E9A5-42C2-84FA-FF065D8D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15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24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139340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lat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ylat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ylate.ru/" TargetMode="External"/><Relationship Id="rId11" Type="http://schemas.openxmlformats.org/officeDocument/2006/relationships/hyperlink" Target="https://paylate.ru/" TargetMode="External"/><Relationship Id="rId5" Type="http://schemas.openxmlformats.org/officeDocument/2006/relationships/hyperlink" Target="https://paylate.ru/" TargetMode="External"/><Relationship Id="rId10" Type="http://schemas.openxmlformats.org/officeDocument/2006/relationships/hyperlink" Target="https://payla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yl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Бархоткина</dc:creator>
  <cp:keywords/>
  <cp:lastModifiedBy>Сухов Виктор</cp:lastModifiedBy>
  <cp:revision>2</cp:revision>
  <dcterms:created xsi:type="dcterms:W3CDTF">2020-01-14T07:23:00Z</dcterms:created>
  <dcterms:modified xsi:type="dcterms:W3CDTF">2020-01-14T07:23:00Z</dcterms:modified>
</cp:coreProperties>
</file>